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7C7E34" w14:textId="4DFA97BD" w:rsidR="00F86F7B" w:rsidRPr="006E473F" w:rsidRDefault="00136CA6" w:rsidP="00F86F7B">
      <w:pPr>
        <w:pStyle w:val="CRCoverPage"/>
        <w:tabs>
          <w:tab w:val="right" w:pos="9639"/>
        </w:tabs>
        <w:spacing w:after="0"/>
        <w:rPr>
          <w:b/>
          <w:i/>
          <w:noProof/>
          <w:sz w:val="24"/>
          <w:szCs w:val="24"/>
          <w:lang w:eastAsia="ko-KR"/>
        </w:rPr>
      </w:pPr>
      <w:r w:rsidRPr="00AD64CD">
        <w:rPr>
          <w:b/>
          <w:sz w:val="24"/>
          <w:szCs w:val="24"/>
        </w:rPr>
        <w:t>3GPP TSG RAN WG1 Meeting #90</w:t>
      </w:r>
      <w:r w:rsidR="00F86F7B" w:rsidRPr="006E473F">
        <w:rPr>
          <w:rFonts w:hint="eastAsia"/>
          <w:b/>
          <w:sz w:val="24"/>
          <w:szCs w:val="24"/>
          <w:lang w:eastAsia="ko-KR"/>
        </w:rPr>
        <w:tab/>
      </w:r>
      <w:r w:rsidR="006A5CB3" w:rsidRPr="002C3F0D">
        <w:rPr>
          <w:rFonts w:hint="eastAsia"/>
          <w:b/>
          <w:i/>
          <w:sz w:val="24"/>
          <w:szCs w:val="24"/>
        </w:rPr>
        <w:t>R1-</w:t>
      </w:r>
      <w:r w:rsidR="006A5CB3" w:rsidRPr="002C3F0D">
        <w:rPr>
          <w:rFonts w:hint="eastAsia"/>
          <w:b/>
          <w:i/>
          <w:noProof/>
          <w:sz w:val="24"/>
          <w:szCs w:val="24"/>
        </w:rPr>
        <w:t>1</w:t>
      </w:r>
      <w:r w:rsidR="006A5CB3" w:rsidRPr="002C3F0D">
        <w:rPr>
          <w:b/>
          <w:i/>
          <w:noProof/>
          <w:sz w:val="24"/>
          <w:szCs w:val="24"/>
        </w:rPr>
        <w:t>7</w:t>
      </w:r>
      <w:r w:rsidR="00144E0E">
        <w:rPr>
          <w:rFonts w:hint="eastAsia"/>
          <w:b/>
          <w:i/>
          <w:noProof/>
          <w:sz w:val="24"/>
          <w:szCs w:val="24"/>
          <w:lang w:eastAsia="ko-KR"/>
        </w:rPr>
        <w:t>1</w:t>
      </w:r>
      <w:r w:rsidR="00953FD8">
        <w:rPr>
          <w:rFonts w:hint="eastAsia"/>
          <w:b/>
          <w:i/>
          <w:noProof/>
          <w:sz w:val="24"/>
          <w:szCs w:val="24"/>
          <w:lang w:eastAsia="ko-KR"/>
        </w:rPr>
        <w:t>3585</w:t>
      </w:r>
      <w:bookmarkStart w:id="0" w:name="_GoBack"/>
      <w:bookmarkEnd w:id="0"/>
    </w:p>
    <w:p w14:paraId="5C18428F" w14:textId="4D34E5AD" w:rsidR="00136CA6" w:rsidRPr="002C3F0D" w:rsidRDefault="00136CA6" w:rsidP="00136CA6">
      <w:pPr>
        <w:pStyle w:val="CRCoverPage"/>
        <w:spacing w:after="240"/>
        <w:outlineLvl w:val="0"/>
        <w:rPr>
          <w:b/>
          <w:bCs/>
          <w:noProof/>
          <w:sz w:val="24"/>
          <w:szCs w:val="24"/>
        </w:rPr>
      </w:pPr>
      <w:r>
        <w:rPr>
          <w:b/>
          <w:bCs/>
          <w:noProof/>
          <w:sz w:val="24"/>
          <w:szCs w:val="24"/>
        </w:rPr>
        <w:t>Prague, Czechia 21</w:t>
      </w:r>
      <w:r w:rsidRPr="00AD64CD">
        <w:rPr>
          <w:rFonts w:hint="eastAsia"/>
          <w:b/>
          <w:bCs/>
          <w:noProof/>
          <w:sz w:val="24"/>
          <w:szCs w:val="24"/>
          <w:vertAlign w:val="superscript"/>
          <w:lang w:eastAsia="ko-KR"/>
        </w:rPr>
        <w:t>th</w:t>
      </w:r>
      <w:r w:rsidRPr="00AD64CD">
        <w:rPr>
          <w:b/>
          <w:bCs/>
          <w:noProof/>
          <w:sz w:val="24"/>
          <w:szCs w:val="24"/>
        </w:rPr>
        <w:t xml:space="preserve"> – 25</w:t>
      </w:r>
      <w:r w:rsidRPr="00AD64CD">
        <w:rPr>
          <w:b/>
          <w:bCs/>
          <w:noProof/>
          <w:sz w:val="24"/>
          <w:szCs w:val="24"/>
          <w:vertAlign w:val="superscript"/>
        </w:rPr>
        <w:t>th</w:t>
      </w:r>
      <w:r w:rsidRPr="00AD64CD">
        <w:rPr>
          <w:b/>
          <w:bCs/>
          <w:noProof/>
          <w:sz w:val="24"/>
          <w:szCs w:val="24"/>
        </w:rPr>
        <w:t xml:space="preserve"> August 2017</w:t>
      </w:r>
    </w:p>
    <w:p w14:paraId="43C52E18" w14:textId="65C3A01C"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136CA6">
        <w:rPr>
          <w:rFonts w:ascii="Arial" w:hAnsi="Arial" w:hint="eastAsia"/>
          <w:sz w:val="24"/>
          <w:lang w:eastAsia="ko-KR"/>
        </w:rPr>
        <w:t>6</w:t>
      </w:r>
      <w:r w:rsidR="006A5CB3">
        <w:rPr>
          <w:rFonts w:ascii="Arial" w:hAnsi="Arial" w:hint="eastAsia"/>
          <w:sz w:val="24"/>
          <w:lang w:eastAsia="ko-KR"/>
        </w:rPr>
        <w:t>.1.2.1</w:t>
      </w:r>
      <w:r w:rsidR="00562D7A">
        <w:rPr>
          <w:rFonts w:ascii="Arial" w:hAnsi="Arial" w:hint="eastAsia"/>
          <w:sz w:val="24"/>
          <w:lang w:eastAsia="ko-KR"/>
        </w:rPr>
        <w:t>.8</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51AE48A8" w:rsidR="00F86F7B" w:rsidRDefault="00F86F7B" w:rsidP="00F86F7B">
      <w:pPr>
        <w:pStyle w:val="maintext"/>
        <w:ind w:firstLine="400"/>
        <w:rPr>
          <w:lang w:eastAsia="ko-KR"/>
        </w:rPr>
      </w:pPr>
      <w:r>
        <w:t>In 3GPP RAN1</w:t>
      </w:r>
      <w:r w:rsidR="00562D7A">
        <w:rPr>
          <w:rFonts w:hint="eastAsia"/>
          <w:lang w:eastAsia="ko-KR"/>
        </w:rPr>
        <w:t>#88</w:t>
      </w:r>
      <w:r>
        <w:t xml:space="preserve"> [</w:t>
      </w:r>
      <w:r w:rsidR="00EF0959">
        <w:rPr>
          <w:rFonts w:hint="eastAsia"/>
          <w:lang w:eastAsia="ko-KR"/>
        </w:rPr>
        <w:t>2</w:t>
      </w:r>
      <w:r>
        <w:t xml:space="preserve">], </w:t>
      </w:r>
      <w:r w:rsidR="00334A54">
        <w:rPr>
          <w:rFonts w:hint="eastAsia"/>
          <w:lang w:eastAsia="ko-KR"/>
        </w:rPr>
        <w:t xml:space="preserve">the </w:t>
      </w:r>
      <w:r>
        <w:t xml:space="preserve">following agreements on </w:t>
      </w:r>
      <w:r w:rsidR="00562D7A">
        <w:rPr>
          <w:rFonts w:hint="eastAsia"/>
          <w:lang w:eastAsia="ko-KR"/>
        </w:rPr>
        <w:t>DMRS</w:t>
      </w:r>
      <w:r>
        <w:t xml:space="preserve"> </w:t>
      </w:r>
      <w:r w:rsidR="00334A54">
        <w:rPr>
          <w:rFonts w:hint="eastAsia"/>
          <w:lang w:eastAsia="ko-KR"/>
        </w:rPr>
        <w:t>we</w:t>
      </w:r>
      <w:r>
        <w:t xml:space="preserve">re agreed: </w:t>
      </w:r>
    </w:p>
    <w:tbl>
      <w:tblPr>
        <w:tblStyle w:val="a6"/>
        <w:tblW w:w="0" w:type="auto"/>
        <w:tblLook w:val="04A0" w:firstRow="1" w:lastRow="0" w:firstColumn="1" w:lastColumn="0" w:noHBand="0" w:noVBand="1"/>
      </w:tblPr>
      <w:tblGrid>
        <w:gridCol w:w="9837"/>
      </w:tblGrid>
      <w:tr w:rsidR="004D769F" w14:paraId="1C688E59" w14:textId="77777777" w:rsidTr="004D769F">
        <w:tc>
          <w:tcPr>
            <w:tcW w:w="9837" w:type="dxa"/>
          </w:tcPr>
          <w:p w14:paraId="4656E6A8" w14:textId="77777777" w:rsidR="004D769F" w:rsidRPr="00A26D71" w:rsidRDefault="004D769F" w:rsidP="004D769F">
            <w:pPr>
              <w:rPr>
                <w:rFonts w:eastAsia="MS Mincho"/>
                <w:b/>
                <w:u w:val="single"/>
                <w:lang w:val="en-US" w:eastAsia="ja-JP"/>
              </w:rPr>
            </w:pPr>
            <w:r w:rsidRPr="00A26D71">
              <w:rPr>
                <w:rFonts w:eastAsia="MS Mincho" w:hint="eastAsia"/>
                <w:b/>
                <w:highlight w:val="green"/>
                <w:u w:val="single"/>
                <w:lang w:val="en-US" w:eastAsia="ja-JP"/>
              </w:rPr>
              <w:t>Agreements:</w:t>
            </w:r>
          </w:p>
          <w:p w14:paraId="0EDBA61B"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For DL DMRS port multiplexing, FDM (including comb), CDM (including OCC and Cyclic shift) and TDM should be considered</w:t>
            </w:r>
          </w:p>
          <w:p w14:paraId="1B8022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For the CDM of DMRS ports in time and/or frequency domain</w:t>
            </w:r>
          </w:p>
          <w:p w14:paraId="1DC935D2"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for OCC based or cycling based</w:t>
            </w:r>
          </w:p>
          <w:p w14:paraId="4B226A97"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 xml:space="preserve">FFS: </w:t>
            </w:r>
            <w:r w:rsidRPr="00A26D71">
              <w:rPr>
                <w:rFonts w:eastAsia="MS Mincho"/>
                <w:lang w:eastAsia="ja-JP"/>
              </w:rPr>
              <w:t>support</w:t>
            </w:r>
            <w:r w:rsidRPr="00A26D71">
              <w:rPr>
                <w:rFonts w:eastAsia="MS Mincho" w:hint="eastAsia"/>
                <w:lang w:eastAsia="ja-JP"/>
              </w:rPr>
              <w:t>ing</w:t>
            </w:r>
            <w:r w:rsidRPr="00A26D71">
              <w:rPr>
                <w:rFonts w:eastAsia="MS Mincho"/>
                <w:lang w:eastAsia="ja-JP"/>
              </w:rPr>
              <w:t xml:space="preserve"> CDM across adjacent REs </w:t>
            </w:r>
          </w:p>
          <w:p w14:paraId="026010A1" w14:textId="77777777" w:rsidR="004D769F" w:rsidRPr="00A26D71" w:rsidRDefault="004D769F" w:rsidP="004D769F">
            <w:pPr>
              <w:numPr>
                <w:ilvl w:val="2"/>
                <w:numId w:val="6"/>
              </w:numPr>
              <w:spacing w:after="0"/>
              <w:rPr>
                <w:rFonts w:eastAsia="MS Mincho"/>
                <w:lang w:val="en-US" w:eastAsia="ja-JP"/>
              </w:rPr>
            </w:pPr>
            <w:r w:rsidRPr="00A26D71">
              <w:rPr>
                <w:rFonts w:eastAsia="MS Mincho" w:hint="eastAsia"/>
                <w:lang w:eastAsia="ja-JP"/>
              </w:rPr>
              <w:t>FFS: supporting cyclic shift across non-adjacent R</w:t>
            </w:r>
            <w:r w:rsidRPr="00A26D71">
              <w:rPr>
                <w:rFonts w:eastAsia="MS Mincho"/>
                <w:lang w:eastAsia="ja-JP"/>
              </w:rPr>
              <w:t>Es</w:t>
            </w:r>
          </w:p>
          <w:p w14:paraId="3A6AA7F0"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FFS OCC size</w:t>
            </w:r>
          </w:p>
          <w:p w14:paraId="28B9658D"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Support PN sequence for CP-OFDM</w:t>
            </w:r>
          </w:p>
          <w:p w14:paraId="6B79A803"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FFS: ZC-sequence for CP-OFDM</w:t>
            </w:r>
          </w:p>
          <w:p w14:paraId="352F7A78"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front-loaded DMRS pattern with 4 ports, 1 OFDM symbol is supported</w:t>
            </w:r>
          </w:p>
          <w:p w14:paraId="797A1F56" w14:textId="77777777" w:rsidR="004D769F" w:rsidRPr="00A26D71" w:rsidRDefault="004D769F" w:rsidP="004D769F">
            <w:pPr>
              <w:numPr>
                <w:ilvl w:val="0"/>
                <w:numId w:val="6"/>
              </w:numPr>
              <w:spacing w:after="0"/>
              <w:rPr>
                <w:rFonts w:eastAsia="MS Mincho"/>
                <w:lang w:val="en-US" w:eastAsia="ja-JP"/>
              </w:rPr>
            </w:pPr>
            <w:r w:rsidRPr="00A26D71">
              <w:rPr>
                <w:rFonts w:eastAsia="MS Mincho" w:hint="eastAsia"/>
                <w:lang w:val="en-US" w:eastAsia="ja-JP"/>
              </w:rPr>
              <w:t xml:space="preserve">FFS: </w:t>
            </w:r>
            <w:r w:rsidRPr="00A26D71">
              <w:rPr>
                <w:rFonts w:eastAsia="MS Mincho"/>
                <w:lang w:val="en-US" w:eastAsia="ja-JP"/>
              </w:rPr>
              <w:t>For the case of front-loaded DMRS pattern with 8 ports, two adjacent OFDM symbols are supported</w:t>
            </w:r>
          </w:p>
          <w:p w14:paraId="5D112CF6" w14:textId="77777777" w:rsidR="004D769F" w:rsidRPr="00A26D71" w:rsidRDefault="004D769F" w:rsidP="004D769F">
            <w:pPr>
              <w:numPr>
                <w:ilvl w:val="0"/>
                <w:numId w:val="6"/>
              </w:numPr>
              <w:spacing w:after="0"/>
              <w:rPr>
                <w:rFonts w:eastAsia="MS Mincho"/>
                <w:lang w:val="en-US" w:eastAsia="ja-JP"/>
              </w:rPr>
            </w:pPr>
            <w:r w:rsidRPr="00A26D71">
              <w:rPr>
                <w:rFonts w:eastAsia="MS Mincho"/>
                <w:lang w:val="en-US" w:eastAsia="ja-JP"/>
              </w:rPr>
              <w:t xml:space="preserve">For high Doppler scenario, </w:t>
            </w:r>
            <w:r w:rsidRPr="00A26D71">
              <w:rPr>
                <w:rFonts w:eastAsia="MS Mincho" w:hint="eastAsia"/>
                <w:lang w:val="en-US" w:eastAsia="ja-JP"/>
              </w:rPr>
              <w:t>down selects from the followings</w:t>
            </w:r>
          </w:p>
          <w:p w14:paraId="76F6C9D5"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reduced density in frequency domain compared to front loaded DMRS</w:t>
            </w:r>
          </w:p>
          <w:p w14:paraId="74A9E2DE" w14:textId="77777777" w:rsidR="004D769F" w:rsidRPr="00A26D71" w:rsidRDefault="004D769F" w:rsidP="004D769F">
            <w:pPr>
              <w:numPr>
                <w:ilvl w:val="1"/>
                <w:numId w:val="6"/>
              </w:numPr>
              <w:spacing w:after="0"/>
              <w:rPr>
                <w:rFonts w:eastAsia="MS Mincho"/>
                <w:lang w:val="en-US" w:eastAsia="ja-JP"/>
              </w:rPr>
            </w:pPr>
            <w:r w:rsidRPr="00A26D71">
              <w:rPr>
                <w:rFonts w:eastAsia="MS Mincho"/>
                <w:lang w:val="en-US" w:eastAsia="ja-JP"/>
              </w:rPr>
              <w:t>Additional DMRS with same density in frequency domain compared to front loaded DMRS</w:t>
            </w:r>
          </w:p>
          <w:p w14:paraId="34714D78" w14:textId="77777777" w:rsidR="004D769F" w:rsidRPr="00A26D71" w:rsidRDefault="004D769F" w:rsidP="004D769F">
            <w:pPr>
              <w:numPr>
                <w:ilvl w:val="2"/>
                <w:numId w:val="6"/>
              </w:numPr>
              <w:spacing w:after="0"/>
              <w:rPr>
                <w:rFonts w:eastAsia="MS Mincho"/>
                <w:lang w:val="en-US" w:eastAsia="ja-JP"/>
              </w:rPr>
            </w:pPr>
            <w:r w:rsidRPr="00A26D71">
              <w:rPr>
                <w:rFonts w:eastAsia="MS Mincho"/>
                <w:lang w:val="en-US" w:eastAsia="ja-JP"/>
              </w:rPr>
              <w:t>Note that: Front loaded DMRS can be configured with low density</w:t>
            </w:r>
          </w:p>
          <w:p w14:paraId="79B5C0F1" w14:textId="77777777" w:rsidR="004D769F" w:rsidRPr="00A26D71" w:rsidRDefault="004D769F" w:rsidP="004D769F">
            <w:pPr>
              <w:numPr>
                <w:ilvl w:val="1"/>
                <w:numId w:val="6"/>
              </w:numPr>
              <w:spacing w:after="0"/>
              <w:rPr>
                <w:rFonts w:eastAsia="MS Mincho"/>
                <w:lang w:val="en-US" w:eastAsia="ja-JP"/>
              </w:rPr>
            </w:pPr>
            <w:r w:rsidRPr="00A26D71">
              <w:rPr>
                <w:rFonts w:eastAsia="MS Mincho"/>
                <w:lang w:eastAsia="ja-JP"/>
              </w:rPr>
              <w:t>Note: the complementary use of PT-RS for high Doppler channel estimation can be considered when determining the number of the additional DMRS.</w:t>
            </w:r>
          </w:p>
          <w:p w14:paraId="4CB7E146" w14:textId="77777777" w:rsidR="004D769F" w:rsidRPr="00A26D71" w:rsidRDefault="004D769F" w:rsidP="004D769F">
            <w:pPr>
              <w:numPr>
                <w:ilvl w:val="1"/>
                <w:numId w:val="6"/>
              </w:numPr>
              <w:spacing w:after="0"/>
              <w:rPr>
                <w:rFonts w:eastAsia="MS Mincho"/>
                <w:lang w:val="en-US" w:eastAsia="ja-JP"/>
              </w:rPr>
            </w:pPr>
            <w:r w:rsidRPr="00A26D71">
              <w:rPr>
                <w:rFonts w:eastAsia="MS Mincho" w:hint="eastAsia"/>
                <w:lang w:eastAsia="ja-JP"/>
              </w:rPr>
              <w:t>Other option is not precluded</w:t>
            </w:r>
          </w:p>
          <w:p w14:paraId="454A20B5" w14:textId="77777777" w:rsidR="004D769F" w:rsidRPr="00E12FB0" w:rsidRDefault="004D769F" w:rsidP="004D769F">
            <w:pPr>
              <w:numPr>
                <w:ilvl w:val="0"/>
                <w:numId w:val="6"/>
              </w:numPr>
              <w:spacing w:after="0"/>
              <w:rPr>
                <w:rFonts w:eastAsia="MS Mincho"/>
                <w:highlight w:val="yellow"/>
                <w:lang w:val="en-US" w:eastAsia="ja-JP"/>
              </w:rPr>
            </w:pPr>
            <w:r w:rsidRPr="00E12FB0">
              <w:rPr>
                <w:rFonts w:eastAsia="MS Mincho"/>
                <w:highlight w:val="yellow"/>
                <w:lang w:val="en-US" w:eastAsia="ja-JP"/>
              </w:rPr>
              <w:t>Support DMRS bundling in time domain</w:t>
            </w:r>
          </w:p>
          <w:p w14:paraId="47D59745"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At least time domain bundling with slot aggregation of DL-only slots is supported</w:t>
            </w:r>
          </w:p>
          <w:p w14:paraId="681911E6"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ghlight w:val="yellow"/>
                <w:lang w:val="en-US" w:eastAsia="ja-JP"/>
              </w:rPr>
              <w:t xml:space="preserve">DMRS pattern within </w:t>
            </w:r>
            <w:r w:rsidRPr="00E12FB0">
              <w:rPr>
                <w:rFonts w:eastAsia="MS Mincho" w:hint="eastAsia"/>
                <w:highlight w:val="yellow"/>
                <w:lang w:val="en-US" w:eastAsia="ja-JP"/>
              </w:rPr>
              <w:t>the first</w:t>
            </w:r>
            <w:r w:rsidRPr="00E12FB0">
              <w:rPr>
                <w:rFonts w:eastAsia="MS Mincho"/>
                <w:highlight w:val="yellow"/>
                <w:lang w:val="en-US" w:eastAsia="ja-JP"/>
              </w:rPr>
              <w:t xml:space="preserve"> slot is not impacted by the time domain DMRS bundling</w:t>
            </w:r>
          </w:p>
          <w:p w14:paraId="24D08A9C" w14:textId="77777777" w:rsidR="004D769F" w:rsidRPr="00E12FB0" w:rsidRDefault="004D769F" w:rsidP="004D769F">
            <w:pPr>
              <w:numPr>
                <w:ilvl w:val="1"/>
                <w:numId w:val="6"/>
              </w:numPr>
              <w:spacing w:after="0"/>
              <w:rPr>
                <w:rFonts w:eastAsia="MS Mincho"/>
                <w:highlight w:val="yellow"/>
                <w:lang w:val="en-US" w:eastAsia="ja-JP"/>
              </w:rPr>
            </w:pPr>
            <w:r w:rsidRPr="00E12FB0">
              <w:rPr>
                <w:rFonts w:eastAsia="MS Mincho" w:hint="eastAsia"/>
                <w:highlight w:val="yellow"/>
                <w:lang w:val="en-US" w:eastAsia="ja-JP"/>
              </w:rPr>
              <w:t xml:space="preserve">FFS: </w:t>
            </w:r>
            <w:r w:rsidRPr="00E12FB0">
              <w:rPr>
                <w:rFonts w:eastAsia="MS Mincho"/>
                <w:highlight w:val="yellow"/>
                <w:lang w:val="en-US" w:eastAsia="ja-JP"/>
              </w:rPr>
              <w:t>Consider further overhead reduction of DMRS in case of bundling in time domain</w:t>
            </w:r>
          </w:p>
          <w:p w14:paraId="6F624548" w14:textId="77777777" w:rsidR="004D769F" w:rsidRPr="00A26D71" w:rsidRDefault="004D769F" w:rsidP="004D769F">
            <w:pPr>
              <w:numPr>
                <w:ilvl w:val="0"/>
                <w:numId w:val="6"/>
              </w:numPr>
              <w:spacing w:after="0"/>
              <w:rPr>
                <w:rFonts w:eastAsia="MS Mincho"/>
                <w:lang w:val="en-US" w:eastAsia="ja-JP"/>
              </w:rPr>
            </w:pPr>
            <w:r w:rsidRPr="00A26D71">
              <w:rPr>
                <w:rFonts w:eastAsia="MS Mincho"/>
                <w:lang w:eastAsia="ja-JP"/>
              </w:rPr>
              <w:t xml:space="preserve">Consider whether to use </w:t>
            </w:r>
            <w:r w:rsidRPr="00A26D71">
              <w:rPr>
                <w:rFonts w:eastAsia="MS Mincho"/>
                <w:lang w:val="en-US" w:eastAsia="ja-JP"/>
              </w:rPr>
              <w:t xml:space="preserve">mechanism of UE-assisted DMRS configuration. </w:t>
            </w:r>
          </w:p>
          <w:p w14:paraId="4DB463E1" w14:textId="2F12CAFE" w:rsidR="004D769F" w:rsidRPr="004D769F" w:rsidRDefault="004D769F" w:rsidP="004D769F">
            <w:pPr>
              <w:numPr>
                <w:ilvl w:val="0"/>
                <w:numId w:val="6"/>
              </w:numPr>
              <w:spacing w:after="0"/>
              <w:rPr>
                <w:rFonts w:eastAsia="MS Mincho"/>
                <w:lang w:val="en-US" w:eastAsia="ja-JP"/>
              </w:rPr>
            </w:pPr>
            <w:r w:rsidRPr="00A26D71">
              <w:rPr>
                <w:rFonts w:eastAsia="MS Mincho"/>
                <w:lang w:val="en-US" w:eastAsia="ja-JP"/>
              </w:rPr>
              <w:t>Consider  whether to use UE-assisted configuration of PRG size</w:t>
            </w:r>
          </w:p>
        </w:tc>
      </w:tr>
    </w:tbl>
    <w:p w14:paraId="62D9B79B" w14:textId="433DC196" w:rsidR="00F86F7B" w:rsidRPr="00125E0E" w:rsidRDefault="00F86F7B" w:rsidP="004D769F">
      <w:pPr>
        <w:pStyle w:val="maintext"/>
        <w:spacing w:before="180"/>
        <w:ind w:firstLine="400"/>
      </w:pPr>
      <w:r w:rsidRPr="00226945">
        <w:t xml:space="preserve">In this contribution, we discuss </w:t>
      </w:r>
      <w:r w:rsidR="006A5CB3">
        <w:rPr>
          <w:rFonts w:hint="eastAsia"/>
          <w:lang w:eastAsia="ko-KR"/>
        </w:rPr>
        <w:t>continuous precoding of NR DMRS in time domain</w:t>
      </w:r>
      <w:r w:rsidRPr="00226945">
        <w:t>.</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n LTE, DMRS precoding granularity in time domain is fixed to one subframe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63883436"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hen reciprocity between uplink and downlink channel is not supported, eNB can realize preferred transmission layer and precoding by using UE’s periodic and/or triggered feedback. For periodic CSI reporting, it should be noted that information on precoding in eNB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eNB side only changes when eNB triggers, using identical precoding between UE reports would be natural. The situation is similar for channel reciprocity case since eNB can acquire channel information only when UE transmits SRS to eNB.</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63883437"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s shown in Figure 2, eNB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63883438"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For aperiodic CSI reporting, CSI can be provided only when eNB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lastRenderedPageBreak/>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2C7E027" w14:textId="77777777" w:rsidR="00562D7A" w:rsidRDefault="00562D7A" w:rsidP="00562D7A">
      <w:pPr>
        <w:rPr>
          <w:b/>
        </w:rPr>
      </w:pPr>
      <w:r w:rsidRPr="0096513B">
        <w:rPr>
          <w:b/>
          <w:i/>
          <w:u w:val="single"/>
        </w:rPr>
        <w:t>Observation</w:t>
      </w:r>
      <w:r>
        <w:rPr>
          <w:b/>
          <w:i/>
          <w:u w:val="single"/>
        </w:rPr>
        <w:t>s</w:t>
      </w:r>
      <w:r w:rsidRPr="004F0633">
        <w:rPr>
          <w:rFonts w:hint="eastAsia"/>
          <w:b/>
        </w:rPr>
        <w:t xml:space="preserve">: </w:t>
      </w:r>
    </w:p>
    <w:p w14:paraId="68EEF47C" w14:textId="77777777" w:rsidR="00562D7A" w:rsidRDefault="00562D7A" w:rsidP="00562D7A">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32261B5B" w14:textId="77777777" w:rsidR="00562D7A" w:rsidRDefault="00562D7A" w:rsidP="00562D7A">
      <w:pPr>
        <w:pStyle w:val="a5"/>
        <w:numPr>
          <w:ilvl w:val="1"/>
          <w:numId w:val="3"/>
        </w:numPr>
        <w:ind w:leftChars="0"/>
        <w:rPr>
          <w:i/>
          <w:lang w:eastAsia="ko-KR"/>
        </w:rPr>
      </w:pPr>
      <w:r>
        <w:rPr>
          <w:i/>
          <w:lang w:eastAsia="ko-KR"/>
        </w:rPr>
        <w:t xml:space="preserve">For periodic CSI reporting, acquisition of CSI is limited to UE reporting instance. </w:t>
      </w:r>
    </w:p>
    <w:p w14:paraId="7AF43185" w14:textId="77777777" w:rsidR="00562D7A" w:rsidRDefault="00562D7A" w:rsidP="00562D7A">
      <w:pPr>
        <w:pStyle w:val="a5"/>
        <w:numPr>
          <w:ilvl w:val="1"/>
          <w:numId w:val="3"/>
        </w:numPr>
        <w:ind w:leftChars="0"/>
        <w:rPr>
          <w:i/>
          <w:lang w:eastAsia="ko-KR"/>
        </w:rPr>
      </w:pPr>
      <w:r>
        <w:rPr>
          <w:i/>
          <w:lang w:eastAsia="ko-KR"/>
        </w:rPr>
        <w:t>For aperiodic CSI reporting, CSI can be provided only when eNB triggered CSI.</w:t>
      </w:r>
    </w:p>
    <w:p w14:paraId="051CB5C1" w14:textId="77777777" w:rsidR="00562D7A" w:rsidRDefault="00562D7A" w:rsidP="00562D7A">
      <w:pPr>
        <w:pStyle w:val="a5"/>
        <w:numPr>
          <w:ilvl w:val="1"/>
          <w:numId w:val="3"/>
        </w:numPr>
        <w:ind w:leftChars="0"/>
        <w:rPr>
          <w:i/>
          <w:lang w:eastAsia="ko-KR"/>
        </w:rPr>
      </w:pPr>
      <w:r>
        <w:rPr>
          <w:i/>
          <w:lang w:eastAsia="ko-KR"/>
        </w:rPr>
        <w:t>For channel reciprocity case, channel information can be done only when UE transmits SRS.</w:t>
      </w:r>
    </w:p>
    <w:p w14:paraId="397558F2" w14:textId="77777777" w:rsidR="00562D7A" w:rsidRDefault="00562D7A" w:rsidP="00562D7A">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65E21FB7" w14:textId="77777777" w:rsidR="00562D7A" w:rsidRPr="0096513B" w:rsidRDefault="00562D7A" w:rsidP="00562D7A">
      <w:pPr>
        <w:rPr>
          <w:b/>
        </w:rPr>
      </w:pPr>
      <w:r>
        <w:rPr>
          <w:b/>
          <w:i/>
          <w:u w:val="single"/>
        </w:rPr>
        <w:t>Proposals</w:t>
      </w:r>
      <w:r w:rsidRPr="0096513B">
        <w:rPr>
          <w:rFonts w:hint="eastAsia"/>
          <w:b/>
        </w:rPr>
        <w:t xml:space="preserve">: </w:t>
      </w:r>
    </w:p>
    <w:p w14:paraId="2EE7AD96" w14:textId="77777777" w:rsidR="00562D7A" w:rsidRDefault="00562D7A" w:rsidP="00562D7A">
      <w:pPr>
        <w:pStyle w:val="a5"/>
        <w:numPr>
          <w:ilvl w:val="0"/>
          <w:numId w:val="3"/>
        </w:numPr>
        <w:ind w:leftChars="0"/>
        <w:rPr>
          <w:i/>
          <w:lang w:eastAsia="ko-KR"/>
        </w:rPr>
      </w:pPr>
      <w:r>
        <w:rPr>
          <w:i/>
          <w:lang w:eastAsia="ko-KR"/>
        </w:rPr>
        <w:t xml:space="preserve">Support continuous precoding on DMRS in time domain. </w:t>
      </w:r>
    </w:p>
    <w:p w14:paraId="08FB21DF" w14:textId="77777777" w:rsidR="00562D7A" w:rsidRDefault="00562D7A" w:rsidP="00562D7A">
      <w:pPr>
        <w:pStyle w:val="a5"/>
        <w:numPr>
          <w:ilvl w:val="0"/>
          <w:numId w:val="3"/>
        </w:numPr>
        <w:ind w:leftChars="0"/>
        <w:rPr>
          <w:i/>
          <w:lang w:eastAsia="ko-KR"/>
        </w:rPr>
      </w:pPr>
      <w:r>
        <w:rPr>
          <w:i/>
          <w:lang w:eastAsia="ko-KR"/>
        </w:rPr>
        <w:t xml:space="preserve">Consider following alternatives to support continuous precoding on DMRS in time domain: </w:t>
      </w:r>
    </w:p>
    <w:p w14:paraId="254F1B57" w14:textId="77777777" w:rsidR="00562D7A" w:rsidRDefault="00562D7A" w:rsidP="00562D7A">
      <w:pPr>
        <w:pStyle w:val="a5"/>
        <w:numPr>
          <w:ilvl w:val="1"/>
          <w:numId w:val="3"/>
        </w:numPr>
        <w:ind w:leftChars="0"/>
        <w:rPr>
          <w:i/>
          <w:lang w:eastAsia="ko-KR"/>
        </w:rPr>
      </w:pPr>
      <w:r>
        <w:rPr>
          <w:i/>
          <w:lang w:eastAsia="ko-KR"/>
        </w:rPr>
        <w:t>Semi-static measurement window.</w:t>
      </w:r>
    </w:p>
    <w:p w14:paraId="66D89C57" w14:textId="77777777" w:rsidR="00562D7A" w:rsidRDefault="00562D7A" w:rsidP="00562D7A">
      <w:pPr>
        <w:pStyle w:val="a5"/>
        <w:numPr>
          <w:ilvl w:val="1"/>
          <w:numId w:val="3"/>
        </w:numPr>
        <w:ind w:leftChars="0"/>
        <w:rPr>
          <w:i/>
          <w:lang w:eastAsia="ko-KR"/>
        </w:rPr>
      </w:pPr>
      <w:r>
        <w:rPr>
          <w:i/>
          <w:lang w:eastAsia="ko-KR"/>
        </w:rPr>
        <w:t>Dynamic indication of precoding sets.</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37C726FD" w14:textId="77777777" w:rsidR="004A72AA" w:rsidRDefault="004A72AA" w:rsidP="004A72AA">
      <w:pPr>
        <w:pStyle w:val="2222"/>
        <w:numPr>
          <w:ilvl w:val="0"/>
          <w:numId w:val="2"/>
        </w:numPr>
        <w:spacing w:after="120" w:line="288" w:lineRule="auto"/>
        <w:ind w:left="357" w:firstLineChars="0" w:hanging="357"/>
        <w:rPr>
          <w:rFonts w:cs="Times New Roman"/>
          <w:lang w:eastAsia="ko-KR"/>
        </w:rPr>
      </w:pPr>
      <w:r w:rsidRPr="00A11E8D">
        <w:rPr>
          <w:rFonts w:cs="Times New Roman"/>
          <w:lang w:eastAsia="ko-KR"/>
        </w:rPr>
        <w:t>RP-1</w:t>
      </w:r>
      <w:r>
        <w:rPr>
          <w:rFonts w:cs="Times New Roman" w:hint="eastAsia"/>
          <w:lang w:eastAsia="ko-KR"/>
        </w:rPr>
        <w:t>70847</w:t>
      </w:r>
      <w:r w:rsidRPr="00A11E8D">
        <w:rPr>
          <w:rFonts w:cs="Times New Roman"/>
          <w:lang w:eastAsia="ko-KR"/>
        </w:rPr>
        <w:t xml:space="preserve">, </w:t>
      </w:r>
      <w:r>
        <w:rPr>
          <w:rFonts w:cs="Times New Roman"/>
          <w:lang w:eastAsia="ko-KR"/>
        </w:rPr>
        <w:t>“</w:t>
      </w:r>
      <w:r w:rsidRPr="00A11E8D">
        <w:rPr>
          <w:rFonts w:cs="Times New Roman"/>
          <w:lang w:eastAsia="ko-KR"/>
        </w:rPr>
        <w:t xml:space="preserve">New </w:t>
      </w:r>
      <w:r>
        <w:rPr>
          <w:rFonts w:cs="Times New Roman" w:hint="eastAsia"/>
          <w:lang w:eastAsia="ko-KR"/>
        </w:rPr>
        <w:t>WID</w:t>
      </w:r>
      <w:r w:rsidRPr="00A11E8D">
        <w:rPr>
          <w:rFonts w:cs="Times New Roman"/>
          <w:lang w:eastAsia="ko-KR"/>
        </w:rPr>
        <w:t xml:space="preserve"> on New Radio Access Technology</w:t>
      </w:r>
      <w:r>
        <w:rPr>
          <w:rFonts w:cs="Times New Roman"/>
          <w:lang w:eastAsia="ko-KR"/>
        </w:rPr>
        <w:t>”, NTT DOCOMO</w:t>
      </w:r>
    </w:p>
    <w:p w14:paraId="0334ACC1" w14:textId="049307F5" w:rsidR="00F86F7B" w:rsidRPr="00B273DD" w:rsidRDefault="00F86F7B" w:rsidP="00562D7A">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w:t>
      </w:r>
      <w:r w:rsidR="00562D7A">
        <w:rPr>
          <w:rFonts w:cs="Times New Roman" w:hint="eastAsia"/>
          <w:lang w:eastAsia="ko-KR"/>
        </w:rPr>
        <w:t>8</w:t>
      </w:r>
      <w:r>
        <w:rPr>
          <w:rFonts w:cs="Times New Roman"/>
          <w:lang w:eastAsia="ko-KR"/>
        </w:rPr>
        <w:t>, Chairman’s Note.</w:t>
      </w:r>
    </w:p>
    <w:p w14:paraId="6016D9D7" w14:textId="77777777" w:rsidR="0021397F" w:rsidRPr="00F86F7B" w:rsidRDefault="0021397F"/>
    <w:sectPr w:rsidR="0021397F" w:rsidRPr="00F86F7B"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326933" w14:textId="77777777" w:rsidR="004775D0" w:rsidRDefault="004775D0" w:rsidP="00F86F7B">
      <w:pPr>
        <w:spacing w:after="0"/>
      </w:pPr>
      <w:r>
        <w:separator/>
      </w:r>
    </w:p>
  </w:endnote>
  <w:endnote w:type="continuationSeparator" w:id="0">
    <w:p w14:paraId="6F14CAE7" w14:textId="77777777" w:rsidR="004775D0" w:rsidRDefault="004775D0"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9144C3" w14:textId="77777777" w:rsidR="004775D0" w:rsidRDefault="004775D0" w:rsidP="00F86F7B">
      <w:pPr>
        <w:spacing w:after="0"/>
      </w:pPr>
      <w:r>
        <w:separator/>
      </w:r>
    </w:p>
  </w:footnote>
  <w:footnote w:type="continuationSeparator" w:id="0">
    <w:p w14:paraId="2E1166F2" w14:textId="77777777" w:rsidR="004775D0" w:rsidRDefault="004775D0"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2">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3">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5">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4"/>
  </w:num>
  <w:num w:numId="2">
    <w:abstractNumId w:val="0"/>
  </w:num>
  <w:num w:numId="3">
    <w:abstractNumId w:val="3"/>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66846"/>
    <w:rsid w:val="000A031C"/>
    <w:rsid w:val="000F7951"/>
    <w:rsid w:val="00101F65"/>
    <w:rsid w:val="00136CA6"/>
    <w:rsid w:val="00142C1E"/>
    <w:rsid w:val="00144E0E"/>
    <w:rsid w:val="0021397F"/>
    <w:rsid w:val="0028544E"/>
    <w:rsid w:val="00334A54"/>
    <w:rsid w:val="003A490A"/>
    <w:rsid w:val="003B1CAC"/>
    <w:rsid w:val="003D4623"/>
    <w:rsid w:val="00442B2D"/>
    <w:rsid w:val="004775D0"/>
    <w:rsid w:val="004A72AA"/>
    <w:rsid w:val="004D769F"/>
    <w:rsid w:val="004F53D0"/>
    <w:rsid w:val="004F6194"/>
    <w:rsid w:val="0051787A"/>
    <w:rsid w:val="00562D7A"/>
    <w:rsid w:val="00660E08"/>
    <w:rsid w:val="006A5CB3"/>
    <w:rsid w:val="006C53D2"/>
    <w:rsid w:val="006F2B39"/>
    <w:rsid w:val="007B62DC"/>
    <w:rsid w:val="008463ED"/>
    <w:rsid w:val="008D4191"/>
    <w:rsid w:val="00915E02"/>
    <w:rsid w:val="00944856"/>
    <w:rsid w:val="00953FD8"/>
    <w:rsid w:val="009710AD"/>
    <w:rsid w:val="00A7462C"/>
    <w:rsid w:val="00AD67B6"/>
    <w:rsid w:val="00B4698B"/>
    <w:rsid w:val="00C17760"/>
    <w:rsid w:val="00DD2321"/>
    <w:rsid w:val="00E12FB0"/>
    <w:rsid w:val="00E33A0D"/>
    <w:rsid w:val="00E71DB3"/>
    <w:rsid w:val="00EF0959"/>
    <w:rsid w:val="00F1239F"/>
    <w:rsid w:val="00F86F7B"/>
    <w:rsid w:val="00F92EAB"/>
    <w:rsid w:val="00FA0519"/>
    <w:rsid w:val="00FD404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3.vsd"/><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Microsoft_Visio_2003-2010____2.vsd"/><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___1.vsd"/><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TotalTime>
  <Pages>3</Pages>
  <Words>855</Words>
  <Characters>4938</Characters>
  <Application>Microsoft Office Word</Application>
  <DocSecurity>0</DocSecurity>
  <Lines>82</Lines>
  <Paragraphs>54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23</cp:revision>
  <dcterms:created xsi:type="dcterms:W3CDTF">2017-01-06T06:43:00Z</dcterms:created>
  <dcterms:modified xsi:type="dcterms:W3CDTF">2017-08-10T06:17:00Z</dcterms:modified>
</cp:coreProperties>
</file>